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Pr="00E25302" w:rsidRDefault="00ED48B4" w:rsidP="00CB0ECA">
      <w:pPr>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Early Learning in Ottawa</w:t>
      </w:r>
    </w:p>
    <w:p w:rsidR="00CB0ECA" w:rsidRPr="00953585" w:rsidRDefault="00CB0ECA" w:rsidP="00CB0ECA">
      <w:pPr>
        <w:jc w:val="center"/>
        <w:rPr>
          <w:rFonts w:ascii="Times New Roman" w:hAnsi="Times New Roman" w:cs="Times New Roman"/>
          <w:sz w:val="24"/>
          <w:szCs w:val="24"/>
        </w:rPr>
      </w:pPr>
      <w:r w:rsidRPr="00953585">
        <w:rPr>
          <w:rFonts w:ascii="Times New Roman" w:hAnsi="Times New Roman" w:cs="Times New Roman"/>
          <w:sz w:val="24"/>
          <w:szCs w:val="24"/>
        </w:rPr>
        <w:t>Student ID</w:t>
      </w:r>
    </w:p>
    <w:p w:rsidR="00CB0ECA" w:rsidRPr="00953585" w:rsidRDefault="00CB0ECA" w:rsidP="00CB0ECA">
      <w:pPr>
        <w:jc w:val="center"/>
        <w:rPr>
          <w:rFonts w:ascii="Times New Roman" w:hAnsi="Times New Roman" w:cs="Times New Roman"/>
          <w:sz w:val="24"/>
          <w:szCs w:val="24"/>
        </w:rPr>
      </w:pPr>
      <w:r w:rsidRPr="00953585">
        <w:rPr>
          <w:rFonts w:ascii="Times New Roman" w:hAnsi="Times New Roman" w:cs="Times New Roman"/>
          <w:sz w:val="24"/>
          <w:szCs w:val="24"/>
        </w:rPr>
        <w:t>Professor’s Name</w:t>
      </w:r>
    </w:p>
    <w:p w:rsidR="00CB0ECA" w:rsidRPr="00953585" w:rsidRDefault="00CB0ECA" w:rsidP="00CB0ECA">
      <w:pPr>
        <w:jc w:val="center"/>
        <w:rPr>
          <w:rFonts w:ascii="Times New Roman" w:hAnsi="Times New Roman" w:cs="Times New Roman"/>
          <w:sz w:val="24"/>
          <w:szCs w:val="24"/>
        </w:rPr>
      </w:pPr>
      <w:r w:rsidRPr="00953585">
        <w:rPr>
          <w:rFonts w:ascii="Times New Roman" w:hAnsi="Times New Roman" w:cs="Times New Roman"/>
          <w:sz w:val="24"/>
          <w:szCs w:val="24"/>
        </w:rPr>
        <w:t>Course Title</w:t>
      </w:r>
    </w:p>
    <w:p w:rsidR="00CB0ECA" w:rsidRPr="00953585" w:rsidRDefault="00CB0ECA" w:rsidP="00CB0ECA">
      <w:pPr>
        <w:jc w:val="center"/>
        <w:rPr>
          <w:rFonts w:ascii="Times New Roman" w:hAnsi="Times New Roman" w:cs="Times New Roman"/>
          <w:sz w:val="24"/>
          <w:szCs w:val="24"/>
        </w:rPr>
      </w:pPr>
      <w:r w:rsidRPr="00953585">
        <w:rPr>
          <w:rFonts w:ascii="Times New Roman" w:hAnsi="Times New Roman" w:cs="Times New Roman"/>
          <w:sz w:val="24"/>
          <w:szCs w:val="24"/>
        </w:rPr>
        <w:t>Date of Submission</w:t>
      </w: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CB0ECA" w:rsidRDefault="00CB0ECA" w:rsidP="00824164">
      <w:pPr>
        <w:ind w:firstLine="720"/>
        <w:jc w:val="both"/>
        <w:rPr>
          <w:rFonts w:ascii="Times New Roman" w:hAnsi="Times New Roman" w:cs="Times New Roman"/>
          <w:sz w:val="24"/>
          <w:szCs w:val="24"/>
        </w:rPr>
      </w:pPr>
    </w:p>
    <w:p w:rsidR="00BF4EFA" w:rsidRPr="00BF4EFA" w:rsidRDefault="00BF4EFA" w:rsidP="00BF4EFA">
      <w:pPr>
        <w:ind w:firstLine="720"/>
        <w:jc w:val="both"/>
        <w:rPr>
          <w:rFonts w:ascii="Times New Roman" w:hAnsi="Times New Roman" w:cs="Times New Roman"/>
          <w:b/>
          <w:sz w:val="24"/>
          <w:szCs w:val="24"/>
        </w:rPr>
      </w:pPr>
      <w:r w:rsidRPr="00BF4EFA">
        <w:rPr>
          <w:rFonts w:ascii="Times New Roman" w:hAnsi="Times New Roman" w:cs="Times New Roman"/>
          <w:b/>
          <w:sz w:val="24"/>
          <w:szCs w:val="24"/>
        </w:rPr>
        <w:lastRenderedPageBreak/>
        <w:t>Introduction</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Children’s outcome is directly influenced by some environments that they face or are exposed; such includes both the childcare and family settings. Moreover, it’s evident that the average quality of childcare across the globe fall short of the recommended standards by the professionals in the early childhood (</w:t>
      </w:r>
      <w:proofErr w:type="spellStart"/>
      <w:r w:rsidRPr="00BF4EFA">
        <w:rPr>
          <w:rFonts w:ascii="Times New Roman" w:hAnsi="Times New Roman" w:cs="Times New Roman"/>
          <w:sz w:val="24"/>
          <w:szCs w:val="24"/>
        </w:rPr>
        <w:t>Bjartveit</w:t>
      </w:r>
      <w:proofErr w:type="spellEnd"/>
      <w:r w:rsidRPr="00BF4EFA">
        <w:rPr>
          <w:rFonts w:ascii="Times New Roman" w:hAnsi="Times New Roman" w:cs="Times New Roman"/>
          <w:sz w:val="24"/>
          <w:szCs w:val="24"/>
        </w:rPr>
        <w:t xml:space="preserve"> &amp; </w:t>
      </w:r>
      <w:proofErr w:type="spellStart"/>
      <w:r w:rsidRPr="00BF4EFA">
        <w:rPr>
          <w:rFonts w:ascii="Times New Roman" w:hAnsi="Times New Roman" w:cs="Times New Roman"/>
          <w:sz w:val="24"/>
          <w:szCs w:val="24"/>
        </w:rPr>
        <w:t>Panayotidis</w:t>
      </w:r>
      <w:proofErr w:type="spellEnd"/>
      <w:r w:rsidRPr="00BF4EFA">
        <w:rPr>
          <w:rFonts w:ascii="Times New Roman" w:hAnsi="Times New Roman" w:cs="Times New Roman"/>
          <w:sz w:val="24"/>
          <w:szCs w:val="24"/>
        </w:rPr>
        <w:t>, 2014). The latter, therefore, raises strong concerns on how the quality of such environments influences the development of a child. The paper will look into how early childhood education and care Centre teach history</w:t>
      </w:r>
      <w:r w:rsidR="005D2B50">
        <w:rPr>
          <w:rFonts w:ascii="Times New Roman" w:hAnsi="Times New Roman" w:cs="Times New Roman"/>
          <w:sz w:val="24"/>
          <w:szCs w:val="24"/>
        </w:rPr>
        <w:t xml:space="preserve"> in Ottawa</w:t>
      </w:r>
      <w:r w:rsidRPr="00BF4EFA">
        <w:rPr>
          <w:rFonts w:ascii="Times New Roman" w:hAnsi="Times New Roman" w:cs="Times New Roman"/>
          <w:sz w:val="24"/>
          <w:szCs w:val="24"/>
        </w:rPr>
        <w:t xml:space="preserve">. Have an intensive look at how kids respond to the teaching and the kind of understanding of history and also historical time that kids express. Teachers have positive experiences with the development of some approaches and teaching methods. Notably, it is evident that both physical and also bodily experiences together with teacher’s prowess in storytelling and understanding of history. Although historical knowledge in early childhood may be limited, considering the historical background in early childhood and care education can lay the foundation for historical consciousness, and it’s later enhanced at school. </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b/>
          <w:sz w:val="24"/>
          <w:szCs w:val="24"/>
        </w:rPr>
        <w:t>Why professionals must examine history</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As an expert in the field of early education and care, history p</w:t>
      </w:r>
      <w:bookmarkStart w:id="0" w:name="_GoBack"/>
      <w:bookmarkEnd w:id="0"/>
      <w:r w:rsidRPr="00BF4EFA">
        <w:rPr>
          <w:rFonts w:ascii="Times New Roman" w:hAnsi="Times New Roman" w:cs="Times New Roman"/>
          <w:sz w:val="24"/>
          <w:szCs w:val="24"/>
        </w:rPr>
        <w:t>lays a very fundamental role. History offers a stockroom of information on how children and society behave (</w:t>
      </w:r>
      <w:proofErr w:type="spellStart"/>
      <w:r w:rsidRPr="00BF4EFA">
        <w:rPr>
          <w:rFonts w:ascii="Times New Roman" w:hAnsi="Times New Roman" w:cs="Times New Roman"/>
          <w:sz w:val="24"/>
          <w:szCs w:val="24"/>
        </w:rPr>
        <w:t>Bredekamp</w:t>
      </w:r>
      <w:proofErr w:type="spellEnd"/>
      <w:r w:rsidRPr="00BF4EFA">
        <w:rPr>
          <w:rFonts w:ascii="Times New Roman" w:hAnsi="Times New Roman" w:cs="Times New Roman"/>
          <w:sz w:val="24"/>
          <w:szCs w:val="24"/>
        </w:rPr>
        <w:t>, 2014). Comprehending the operations of organizations and people is hard. However, some disciplines try to explain them.  If we fail to make use of what we know concerning our experiences in the past, some scientist may work hard and formulate some theories regarding early education and care for children.</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 xml:space="preserve">Moreover, all the resources used by the early education depend much on the historical information except for very few cases whereby experiments can look into to dissect exactly how </w:t>
      </w:r>
      <w:r w:rsidRPr="00BF4EFA">
        <w:rPr>
          <w:rFonts w:ascii="Times New Roman" w:hAnsi="Times New Roman" w:cs="Times New Roman"/>
          <w:sz w:val="24"/>
          <w:szCs w:val="24"/>
        </w:rPr>
        <w:lastRenderedPageBreak/>
        <w:t xml:space="preserve">people react. According to </w:t>
      </w:r>
      <w:proofErr w:type="spellStart"/>
      <w:r w:rsidRPr="00BF4EFA">
        <w:rPr>
          <w:rFonts w:ascii="Times New Roman" w:hAnsi="Times New Roman" w:cs="Times New Roman"/>
          <w:sz w:val="24"/>
          <w:szCs w:val="24"/>
        </w:rPr>
        <w:t>Bredekamp</w:t>
      </w:r>
      <w:proofErr w:type="spellEnd"/>
      <w:r w:rsidRPr="00BF4EFA">
        <w:rPr>
          <w:rFonts w:ascii="Times New Roman" w:hAnsi="Times New Roman" w:cs="Times New Roman"/>
          <w:sz w:val="24"/>
          <w:szCs w:val="24"/>
        </w:rPr>
        <w:t>, (2014) a professional in the early childhood department, history gives the exclusive evidential platform for analysis and contemplating how various societal backgrounds operates</w:t>
      </w:r>
      <w:r w:rsidR="005D2B50">
        <w:rPr>
          <w:rFonts w:ascii="Times New Roman" w:hAnsi="Times New Roman" w:cs="Times New Roman"/>
          <w:sz w:val="24"/>
          <w:szCs w:val="24"/>
        </w:rPr>
        <w:t xml:space="preserve"> in Canada</w:t>
      </w:r>
      <w:r w:rsidRPr="00BF4EFA">
        <w:rPr>
          <w:rFonts w:ascii="Times New Roman" w:hAnsi="Times New Roman" w:cs="Times New Roman"/>
          <w:sz w:val="24"/>
          <w:szCs w:val="24"/>
        </w:rPr>
        <w:t>. Therefore, professionals need to have history backgrounds to have some sense of how different societies work to carry on well with their daily operations.  With history, it helps professionals in understanding change and possibly how the community that we live and interact with came into being. Learning various historical backgrounds ranging from own to the kid’s is inescapable (</w:t>
      </w:r>
      <w:proofErr w:type="spellStart"/>
      <w:r w:rsidRPr="00BF4EFA">
        <w:rPr>
          <w:rFonts w:ascii="Times New Roman" w:hAnsi="Times New Roman" w:cs="Times New Roman"/>
          <w:sz w:val="24"/>
          <w:szCs w:val="24"/>
        </w:rPr>
        <w:t>Britto</w:t>
      </w:r>
      <w:proofErr w:type="spellEnd"/>
      <w:r w:rsidRPr="00BF4EFA">
        <w:rPr>
          <w:rFonts w:ascii="Times New Roman" w:hAnsi="Times New Roman" w:cs="Times New Roman"/>
          <w:sz w:val="24"/>
          <w:szCs w:val="24"/>
        </w:rPr>
        <w:t xml:space="preserve">, Lye, </w:t>
      </w:r>
      <w:proofErr w:type="spellStart"/>
      <w:r w:rsidRPr="00BF4EFA">
        <w:rPr>
          <w:rFonts w:ascii="Times New Roman" w:hAnsi="Times New Roman" w:cs="Times New Roman"/>
          <w:sz w:val="24"/>
          <w:szCs w:val="24"/>
        </w:rPr>
        <w:t>Proulx</w:t>
      </w:r>
      <w:proofErr w:type="spellEnd"/>
      <w:r w:rsidRPr="00BF4EFA">
        <w:rPr>
          <w:rFonts w:ascii="Times New Roman" w:hAnsi="Times New Roman" w:cs="Times New Roman"/>
          <w:sz w:val="24"/>
          <w:szCs w:val="24"/>
        </w:rPr>
        <w:t xml:space="preserve">, Yousafzai, Matthews, </w:t>
      </w:r>
      <w:proofErr w:type="spellStart"/>
      <w:r w:rsidRPr="00BF4EFA">
        <w:rPr>
          <w:rFonts w:ascii="Times New Roman" w:hAnsi="Times New Roman" w:cs="Times New Roman"/>
          <w:sz w:val="24"/>
          <w:szCs w:val="24"/>
        </w:rPr>
        <w:t>Vaivada</w:t>
      </w:r>
      <w:proofErr w:type="spellEnd"/>
      <w:r w:rsidRPr="00BF4EFA">
        <w:rPr>
          <w:rFonts w:ascii="Times New Roman" w:hAnsi="Times New Roman" w:cs="Times New Roman"/>
          <w:sz w:val="24"/>
          <w:szCs w:val="24"/>
        </w:rPr>
        <w:t xml:space="preserve"> &amp; MacMillan, (2017). It is genuine that the past is the reason for the present and then so the future. Sometimes, when professionals tend to understand why something happened or are happening, history comes up to explain such key developments, and this is the reason why professionals look further to identify the cause of such changes.  It’s only through appreciating and understanding one’s history; professionals can grasp how exactly things are change. Also, in the field of early education and care, one can begin to understand the factors which bring about change. Again, through acquainting oneself with history can help one in comprehending which elements of a society persistence despite the differences. </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 xml:space="preserve">History gives a terrain for pure contemplation among the professionals and passes it down to the learners. Studying various stories of situations and individuals in the past facilitates a learner to test his or her moral sense. And therefore be able to hone it against some of the real complexities that people have faced in real life. History teaching through example is a phrase that explains the use of history in early education and cares vividly. Therefore, as a professional, we need to examine where we are coming from regarding our history to be able to address what the future holds for us. </w:t>
      </w:r>
    </w:p>
    <w:p w:rsidR="00BF4EFA" w:rsidRPr="00BF4EFA" w:rsidRDefault="00BF4EFA" w:rsidP="00BF4EFA">
      <w:pPr>
        <w:ind w:firstLine="720"/>
        <w:jc w:val="both"/>
        <w:rPr>
          <w:rFonts w:ascii="Times New Roman" w:hAnsi="Times New Roman" w:cs="Times New Roman"/>
          <w:b/>
          <w:sz w:val="24"/>
          <w:szCs w:val="24"/>
        </w:rPr>
      </w:pPr>
      <w:r w:rsidRPr="00BF4EFA">
        <w:rPr>
          <w:rFonts w:ascii="Times New Roman" w:hAnsi="Times New Roman" w:cs="Times New Roman"/>
          <w:b/>
          <w:sz w:val="24"/>
          <w:szCs w:val="24"/>
        </w:rPr>
        <w:t>Impacts of studying of history on learner’s viewpoint on early learning and care</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lastRenderedPageBreak/>
        <w:t>Studying history is critical to the learners because they can understand and relate with the past and thus, in turn, it allows them to appreciate the present. If early learning and care need to be followed well by learners, history plays a more significant role to comprehend who and why of history. Ideally, as many puts it, history is bound to repeat itself, but I believe that perspective can be altered because as a good history student one learns of the failures and mistakes and then avoids at all to repeat the same in future. For the learners, teaching history in daily learning, it can give them insight into the culture which might not be well versed with and thus changing the perspective through which the early childhood was perceived. Considering history, it changes attitudes and increases cross-cultural understanding as well as awareness. To date, the prompt and enduring beneficial outcomes of value care on dialect, psychological advancement, and school accomplishment have been affirmed by combining discoveries from extensive, sensibly agent longitudinal examinations and littler, randomized preliminaries with long-haul pursue ups</w:t>
      </w:r>
      <w:r w:rsidR="0071441F">
        <w:rPr>
          <w:rFonts w:ascii="Times New Roman" w:hAnsi="Times New Roman" w:cs="Times New Roman"/>
          <w:sz w:val="24"/>
          <w:szCs w:val="24"/>
        </w:rPr>
        <w:t xml:space="preserve"> </w:t>
      </w:r>
      <w:r w:rsidRPr="00BF4EFA">
        <w:rPr>
          <w:rFonts w:ascii="Times New Roman" w:hAnsi="Times New Roman" w:cs="Times New Roman"/>
          <w:sz w:val="24"/>
          <w:szCs w:val="24"/>
        </w:rPr>
        <w:t xml:space="preserve">Contributors to this learning base incorporate meta-logical audits of intercessions and comprehensive longitudinal investigations directed in a few countries. Comprehensive meta-investigations currently set up that impacts of early consideration decrease, yet don't vanish, and when starting effects are enormous, long-haul implications remain substantial. Null discoveries in individual and social spaces in a couple of studies may sensibly be credited to the restrictions inborn to their structures, tests, and measures. Kid advancement benefits were regularly found for quality focus care, and further research is justified on the impacts of different sorts of consideration. Gathering size is an especially important supporter of adequacy in the more extensive instruction literature.16 Results are blended in regards to the degree to which the advantages got from the quality consideration (at any rate in a few areas) may profit burdened kids </w:t>
      </w:r>
      <w:r w:rsidRPr="00BF4EFA">
        <w:rPr>
          <w:rFonts w:ascii="Times New Roman" w:hAnsi="Times New Roman" w:cs="Times New Roman"/>
          <w:sz w:val="24"/>
          <w:szCs w:val="24"/>
        </w:rPr>
        <w:lastRenderedPageBreak/>
        <w:t>more than other kids ― however such discoveries would be commonly reliable with results from intercession and training ponders.</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Finally, I believe that if all the above may not be the best reasons that history plays in the perspective of kids, then it can be used for critical thinking. I believe that with such critical thinking they are essential for all areas in life and especially for the matters of early education and care. Writing for a different audience is also a fruit of History and therefore the entire perspectives from learner’s side</w:t>
      </w:r>
      <w:r w:rsidR="006327ED">
        <w:rPr>
          <w:rFonts w:ascii="Times New Roman" w:hAnsi="Times New Roman" w:cs="Times New Roman"/>
          <w:sz w:val="24"/>
          <w:szCs w:val="24"/>
        </w:rPr>
        <w:t xml:space="preserve"> (</w:t>
      </w:r>
      <w:proofErr w:type="spellStart"/>
      <w:r w:rsidR="003D3F99">
        <w:rPr>
          <w:rFonts w:ascii="Times New Roman" w:hAnsi="Times New Roman" w:cs="Times New Roman"/>
          <w:color w:val="222222"/>
          <w:sz w:val="24"/>
          <w:szCs w:val="24"/>
          <w:shd w:val="clear" w:color="auto" w:fill="FFFFFF"/>
        </w:rPr>
        <w:t>Prochner</w:t>
      </w:r>
      <w:proofErr w:type="spellEnd"/>
      <w:r w:rsidR="003D3F99">
        <w:rPr>
          <w:rFonts w:ascii="Times New Roman" w:hAnsi="Times New Roman" w:cs="Times New Roman"/>
          <w:color w:val="222222"/>
          <w:sz w:val="24"/>
          <w:szCs w:val="24"/>
          <w:shd w:val="clear" w:color="auto" w:fill="FFFFFF"/>
        </w:rPr>
        <w:t xml:space="preserve"> &amp; </w:t>
      </w:r>
      <w:proofErr w:type="spellStart"/>
      <w:r w:rsidR="003D3F99">
        <w:rPr>
          <w:rFonts w:ascii="Times New Roman" w:hAnsi="Times New Roman" w:cs="Times New Roman"/>
          <w:color w:val="222222"/>
          <w:sz w:val="24"/>
          <w:szCs w:val="24"/>
          <w:shd w:val="clear" w:color="auto" w:fill="FFFFFF"/>
        </w:rPr>
        <w:t>Kirova</w:t>
      </w:r>
      <w:proofErr w:type="spellEnd"/>
      <w:r w:rsidR="003D3F99">
        <w:rPr>
          <w:rFonts w:ascii="Times New Roman" w:hAnsi="Times New Roman" w:cs="Times New Roman"/>
          <w:color w:val="222222"/>
          <w:sz w:val="24"/>
          <w:szCs w:val="24"/>
          <w:shd w:val="clear" w:color="auto" w:fill="FFFFFF"/>
        </w:rPr>
        <w:t xml:space="preserve">, </w:t>
      </w:r>
      <w:r w:rsidR="006327ED" w:rsidRPr="006327ED">
        <w:rPr>
          <w:rFonts w:ascii="Times New Roman" w:hAnsi="Times New Roman" w:cs="Times New Roman"/>
          <w:color w:val="222222"/>
          <w:sz w:val="24"/>
          <w:szCs w:val="24"/>
          <w:shd w:val="clear" w:color="auto" w:fill="FFFFFF"/>
        </w:rPr>
        <w:t>2018)</w:t>
      </w:r>
      <w:r w:rsidRPr="00BF4EFA">
        <w:rPr>
          <w:rFonts w:ascii="Times New Roman" w:hAnsi="Times New Roman" w:cs="Times New Roman"/>
          <w:sz w:val="24"/>
          <w:szCs w:val="24"/>
        </w:rPr>
        <w:t xml:space="preserve">. </w:t>
      </w:r>
    </w:p>
    <w:p w:rsidR="00BF4EFA" w:rsidRPr="0071441F" w:rsidRDefault="00BF4EFA" w:rsidP="00BF4EFA">
      <w:pPr>
        <w:ind w:firstLine="720"/>
        <w:jc w:val="both"/>
        <w:rPr>
          <w:rFonts w:ascii="Times New Roman" w:hAnsi="Times New Roman" w:cs="Times New Roman"/>
          <w:b/>
          <w:sz w:val="24"/>
          <w:szCs w:val="24"/>
        </w:rPr>
      </w:pPr>
      <w:r w:rsidRPr="0071441F">
        <w:rPr>
          <w:rFonts w:ascii="Times New Roman" w:hAnsi="Times New Roman" w:cs="Times New Roman"/>
          <w:b/>
          <w:sz w:val="24"/>
          <w:szCs w:val="24"/>
        </w:rPr>
        <w:t xml:space="preserve">How </w:t>
      </w:r>
      <w:r w:rsidR="00E644EF">
        <w:rPr>
          <w:rFonts w:ascii="Times New Roman" w:hAnsi="Times New Roman" w:cs="Times New Roman"/>
          <w:b/>
          <w:sz w:val="24"/>
          <w:szCs w:val="24"/>
        </w:rPr>
        <w:t xml:space="preserve">Ottawa’s </w:t>
      </w:r>
      <w:r w:rsidRPr="0071441F">
        <w:rPr>
          <w:rFonts w:ascii="Times New Roman" w:hAnsi="Times New Roman" w:cs="Times New Roman"/>
          <w:b/>
          <w:sz w:val="24"/>
          <w:szCs w:val="24"/>
        </w:rPr>
        <w:t>history has influenced current practices, in early learning</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 xml:space="preserve">Education for the young mind is an essential aspect in preparing children for future learning experiences. The evolution of early childhood education has changed how exactly adults and also parents view the need for giving exciting and stimulating opportunities to the younger learners (Connelly, Champagne &amp; </w:t>
      </w:r>
      <w:proofErr w:type="spellStart"/>
      <w:r w:rsidRPr="00BF4EFA">
        <w:rPr>
          <w:rFonts w:ascii="Times New Roman" w:hAnsi="Times New Roman" w:cs="Times New Roman"/>
          <w:sz w:val="24"/>
          <w:szCs w:val="24"/>
        </w:rPr>
        <w:t>Manningham</w:t>
      </w:r>
      <w:proofErr w:type="spellEnd"/>
      <w:r w:rsidRPr="00BF4EFA">
        <w:rPr>
          <w:rFonts w:ascii="Times New Roman" w:hAnsi="Times New Roman" w:cs="Times New Roman"/>
          <w:sz w:val="24"/>
          <w:szCs w:val="24"/>
        </w:rPr>
        <w:t xml:space="preserve">, 2018).  The concept of educating young kids within the family has been taking place for many years, through the evolution of early childhood has been of significant impact on the perception and current practices in regards to early childhood education. </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From history, facilitators of early childhood education and care have learned that a lot has been left out. In the same spirit, the past has exposed some of the gaps that have been existence in young learners.  In the current times of ensuring that kids are ready for school, it is crucial that early childhood facilitators and also providers reflect much upon their practices. History has made profes</w:t>
      </w:r>
      <w:r w:rsidR="00ED48B4">
        <w:rPr>
          <w:rFonts w:ascii="Times New Roman" w:hAnsi="Times New Roman" w:cs="Times New Roman"/>
          <w:sz w:val="24"/>
          <w:szCs w:val="24"/>
        </w:rPr>
        <w:t>sionals understand that educati</w:t>
      </w:r>
      <w:r w:rsidRPr="00BF4EFA">
        <w:rPr>
          <w:rFonts w:ascii="Times New Roman" w:hAnsi="Times New Roman" w:cs="Times New Roman"/>
          <w:sz w:val="24"/>
          <w:szCs w:val="24"/>
        </w:rPr>
        <w:t xml:space="preserve">on and care for younger learners should focus much on the knowledge base. From the past, it is imperative that providers have an extensive knowledge base of the new childhood dimensions. Professionals should understand; applicable milestone expectations, child development and also the early learning activities that are either developmentally and age appropriate. </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lastRenderedPageBreak/>
        <w:t xml:space="preserve">Through interaction with history, current practices like positive behavior have been enhanced. Younger learners are merely learning how to exhibit self-confidence, solve challenges and be independent. Therefore, with positive behavior guidance approaches practices by the professional’s guides, encourages and models good behaviors so that children can make appropriate choices. For sure, children yarn to test limits, experiment as well as experience consequences within the safety of respectful and trustable relationships with their very educators in a bid to develop positive and social skills (Connelly, Champagne &amp; </w:t>
      </w:r>
      <w:proofErr w:type="spellStart"/>
      <w:r w:rsidRPr="00BF4EFA">
        <w:rPr>
          <w:rFonts w:ascii="Times New Roman" w:hAnsi="Times New Roman" w:cs="Times New Roman"/>
          <w:sz w:val="24"/>
          <w:szCs w:val="24"/>
        </w:rPr>
        <w:t>Manningham</w:t>
      </w:r>
      <w:proofErr w:type="spellEnd"/>
      <w:r w:rsidRPr="00BF4EFA">
        <w:rPr>
          <w:rFonts w:ascii="Times New Roman" w:hAnsi="Times New Roman" w:cs="Times New Roman"/>
          <w:sz w:val="24"/>
          <w:szCs w:val="24"/>
        </w:rPr>
        <w:t xml:space="preserve">, 2018). Historically, inclusive practices were not focused much on early learning, but all that has changed with time. Inclusion is a mindset which a key in nurturing children but not just an adaptation of the physical environment. The latter is evident through kids of all different abilities playing, learning and working collectively as a careering and productive community. The basis for forming an inclusive environment is by accepting and also respecting diversity regardless of race, social-economic levels, family dynamics or even disabilities. With quality, comprehensive programs endeavor to achieve a situation whereby all the children are accommodated and valued as significant persons and also members of the </w:t>
      </w:r>
      <w:r w:rsidR="00AE7E2E">
        <w:rPr>
          <w:rFonts w:ascii="Times New Roman" w:hAnsi="Times New Roman" w:cs="Times New Roman"/>
          <w:sz w:val="24"/>
          <w:szCs w:val="24"/>
        </w:rPr>
        <w:t xml:space="preserve">Ottawa </w:t>
      </w:r>
      <w:r w:rsidRPr="00BF4EFA">
        <w:rPr>
          <w:rFonts w:ascii="Times New Roman" w:hAnsi="Times New Roman" w:cs="Times New Roman"/>
          <w:sz w:val="24"/>
          <w:szCs w:val="24"/>
        </w:rPr>
        <w:t xml:space="preserve">community. </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 xml:space="preserve">Additionally, history has influence observation, and assessment approaches towards early learning.  By use of the evaluation and consideration too in a bid to document a kid’s progress is a paramount element in providing intentional and purposeful activities. It is through history in early earning that adapting to a pace which addresses each kid’s discrete demands. It, therefore, calls for an understanding of old learning standards, understanding individual kids. Keenly observing in times of skills development accomplishments and to plan for increased skill development Edwards, C. P., &amp; </w:t>
      </w:r>
      <w:proofErr w:type="spellStart"/>
      <w:r w:rsidRPr="00BF4EFA">
        <w:rPr>
          <w:rFonts w:ascii="Times New Roman" w:hAnsi="Times New Roman" w:cs="Times New Roman"/>
          <w:sz w:val="24"/>
          <w:szCs w:val="24"/>
        </w:rPr>
        <w:t>Gandini</w:t>
      </w:r>
      <w:proofErr w:type="spellEnd"/>
      <w:r w:rsidRPr="00BF4EFA">
        <w:rPr>
          <w:rFonts w:ascii="Times New Roman" w:hAnsi="Times New Roman" w:cs="Times New Roman"/>
          <w:sz w:val="24"/>
          <w:szCs w:val="24"/>
        </w:rPr>
        <w:t xml:space="preserve">, L. (2018). </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lastRenderedPageBreak/>
        <w:t xml:space="preserve">Finally, history has instituted developmentally geared practices. Understanding the development of a kind is imperative in delivering emotional learning experiences. It is critical to know that a kid should and expected aspects at each stage of development. The latter provides each child with ample time to learn at their time and skill levels. </w:t>
      </w:r>
    </w:p>
    <w:p w:rsidR="00BF4EFA" w:rsidRPr="0071441F" w:rsidRDefault="00BF4EFA" w:rsidP="00BF4EFA">
      <w:pPr>
        <w:ind w:firstLine="720"/>
        <w:jc w:val="both"/>
        <w:rPr>
          <w:rFonts w:ascii="Times New Roman" w:hAnsi="Times New Roman" w:cs="Times New Roman"/>
          <w:b/>
          <w:sz w:val="24"/>
          <w:szCs w:val="24"/>
        </w:rPr>
      </w:pPr>
      <w:r w:rsidRPr="0071441F">
        <w:rPr>
          <w:rFonts w:ascii="Times New Roman" w:hAnsi="Times New Roman" w:cs="Times New Roman"/>
          <w:b/>
          <w:sz w:val="24"/>
          <w:szCs w:val="24"/>
        </w:rPr>
        <w:t>How history has the potential to influence future practices and policies in early learning practices</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 xml:space="preserve">Generally, history has a big deal in influencing future practices in early learning in some ways. Considering what the past practices held, the future is bound to change for the better of the lives of the younger learners Edwards &amp; </w:t>
      </w:r>
      <w:proofErr w:type="spellStart"/>
      <w:r w:rsidRPr="00BF4EFA">
        <w:rPr>
          <w:rFonts w:ascii="Times New Roman" w:hAnsi="Times New Roman" w:cs="Times New Roman"/>
          <w:sz w:val="24"/>
          <w:szCs w:val="24"/>
        </w:rPr>
        <w:t>Gandini</w:t>
      </w:r>
      <w:proofErr w:type="spellEnd"/>
      <w:r w:rsidRPr="00BF4EFA">
        <w:rPr>
          <w:rFonts w:ascii="Times New Roman" w:hAnsi="Times New Roman" w:cs="Times New Roman"/>
          <w:sz w:val="24"/>
          <w:szCs w:val="24"/>
        </w:rPr>
        <w:t xml:space="preserve">, (2018). With continuous learning from history, future policies are made, and practices tend to change for the better of the learners and the professional's tutors. </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 xml:space="preserve">Policy context that is bound to change include; alteration in schedule, nature and the amount of work engaged in by the caregivers or parents of the kids. Augmented cultural diversity and also the importunity of disparity across subgroups. Most of the kids spending their formative ages in childcare of varying quality as it starts from a younger generation. </w:t>
      </w:r>
    </w:p>
    <w:p w:rsidR="00BF4EFA" w:rsidRPr="0071441F" w:rsidRDefault="00BF4EFA" w:rsidP="00BF4EFA">
      <w:pPr>
        <w:ind w:firstLine="720"/>
        <w:jc w:val="both"/>
        <w:rPr>
          <w:rFonts w:ascii="Times New Roman" w:hAnsi="Times New Roman" w:cs="Times New Roman"/>
          <w:b/>
          <w:i/>
          <w:sz w:val="24"/>
          <w:szCs w:val="24"/>
        </w:rPr>
      </w:pPr>
      <w:r w:rsidRPr="0071441F">
        <w:rPr>
          <w:rFonts w:ascii="Times New Roman" w:hAnsi="Times New Roman" w:cs="Times New Roman"/>
          <w:b/>
          <w:i/>
          <w:sz w:val="24"/>
          <w:szCs w:val="24"/>
        </w:rPr>
        <w:t>Barriers</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 xml:space="preserve">Barriers to learning are one of the roadblocks towards policy implementation and learning from history. When figuring out the bottlenecks, it is paramount to consider students holistic demands.  Considering learning experiences and skills and literacy skills influence how history impacts the present policies and practices in regards to early learning and care.  In mitigation of such barriers, the differentiation approach can be adopted. Differentiation is mainly about advanced planning and also good teaching. If the teaching curriculum is well differentiated to </w:t>
      </w:r>
      <w:r w:rsidRPr="00BF4EFA">
        <w:rPr>
          <w:rFonts w:ascii="Times New Roman" w:hAnsi="Times New Roman" w:cs="Times New Roman"/>
          <w:sz w:val="24"/>
          <w:szCs w:val="24"/>
        </w:rPr>
        <w:lastRenderedPageBreak/>
        <w:t xml:space="preserve">accommodate the task, outputs and the resources to be used, then all the learning from the history of early childhood education will be addressed. </w:t>
      </w:r>
    </w:p>
    <w:p w:rsidR="00BF4EFA" w:rsidRPr="0071441F" w:rsidRDefault="00BF4EFA" w:rsidP="00BF4EFA">
      <w:pPr>
        <w:ind w:firstLine="720"/>
        <w:jc w:val="both"/>
        <w:rPr>
          <w:rFonts w:ascii="Times New Roman" w:hAnsi="Times New Roman" w:cs="Times New Roman"/>
          <w:b/>
          <w:i/>
          <w:sz w:val="24"/>
          <w:szCs w:val="24"/>
        </w:rPr>
      </w:pPr>
      <w:r w:rsidRPr="0071441F">
        <w:rPr>
          <w:rFonts w:ascii="Times New Roman" w:hAnsi="Times New Roman" w:cs="Times New Roman"/>
          <w:b/>
          <w:i/>
          <w:sz w:val="24"/>
          <w:szCs w:val="24"/>
        </w:rPr>
        <w:t xml:space="preserve">Opportunities </w:t>
      </w:r>
    </w:p>
    <w:p w:rsidR="00BF4EFA" w:rsidRPr="00BF4EFA"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 xml:space="preserve">According to </w:t>
      </w:r>
      <w:proofErr w:type="spellStart"/>
      <w:r w:rsidRPr="00BF4EFA">
        <w:rPr>
          <w:rFonts w:ascii="Times New Roman" w:hAnsi="Times New Roman" w:cs="Times New Roman"/>
          <w:sz w:val="24"/>
          <w:szCs w:val="24"/>
        </w:rPr>
        <w:t>Lipoff</w:t>
      </w:r>
      <w:proofErr w:type="spellEnd"/>
      <w:r w:rsidRPr="00BF4EFA">
        <w:rPr>
          <w:rFonts w:ascii="Times New Roman" w:hAnsi="Times New Roman" w:cs="Times New Roman"/>
          <w:sz w:val="24"/>
          <w:szCs w:val="24"/>
        </w:rPr>
        <w:t xml:space="preserve">, (2018) the most significant chance is continuous learning from history to improve the future of younger learners. With the emphasis on the future and what has to be done, it makes it easier for all the players and stakeholders to emulate and improve on the way forward. With the current levels of literacy acquisition, a precise and comprehensive assessment of kid’s understanding becomes very easy. The history provides a platform for effectively planning a program towards learning for the younger learners. Another opportunity is the cultural factors which history focus much because they influence the selection of learning materials. Also, the latter determines whether some of the concepts need to be singled out differentiated or additional explanation. </w:t>
      </w:r>
    </w:p>
    <w:p w:rsidR="00BF4EFA" w:rsidRPr="0071441F" w:rsidRDefault="00BF4EFA" w:rsidP="00BF4EFA">
      <w:pPr>
        <w:ind w:firstLine="720"/>
        <w:jc w:val="both"/>
        <w:rPr>
          <w:rFonts w:ascii="Times New Roman" w:hAnsi="Times New Roman" w:cs="Times New Roman"/>
          <w:b/>
          <w:sz w:val="24"/>
          <w:szCs w:val="24"/>
        </w:rPr>
      </w:pPr>
      <w:r w:rsidRPr="0071441F">
        <w:rPr>
          <w:rFonts w:ascii="Times New Roman" w:hAnsi="Times New Roman" w:cs="Times New Roman"/>
          <w:b/>
          <w:sz w:val="24"/>
          <w:szCs w:val="24"/>
        </w:rPr>
        <w:t>Conclusion</w:t>
      </w:r>
    </w:p>
    <w:p w:rsidR="00D17C00" w:rsidRDefault="00BF4EFA" w:rsidP="00BF4EFA">
      <w:pPr>
        <w:ind w:firstLine="720"/>
        <w:jc w:val="both"/>
        <w:rPr>
          <w:rFonts w:ascii="Times New Roman" w:hAnsi="Times New Roman" w:cs="Times New Roman"/>
          <w:sz w:val="24"/>
          <w:szCs w:val="24"/>
        </w:rPr>
      </w:pPr>
      <w:r w:rsidRPr="00BF4EFA">
        <w:rPr>
          <w:rFonts w:ascii="Times New Roman" w:hAnsi="Times New Roman" w:cs="Times New Roman"/>
          <w:sz w:val="24"/>
          <w:szCs w:val="24"/>
        </w:rPr>
        <w:t>The concept of early education and care in younger learner is a vital component of learning, which forms the history of education. ECE’s need to learn and be well versed with history to help them navigate future as well as transferring the same to the younger generation. Also, learning history has a significant impact upon the learner’s point of view on early learning. Learners can appreciate cultural dynamics and how to live together cohesively. Currently, the policies and practices have been directly influenced by history in very many other ways. History is critical and worthy of earning for the caregivers and tutors of the early learners.</w:t>
      </w:r>
    </w:p>
    <w:p w:rsidR="001451E9" w:rsidRDefault="00D17C00" w:rsidP="00D17C00">
      <w:pPr>
        <w:tabs>
          <w:tab w:val="left" w:pos="8115"/>
        </w:tabs>
        <w:rPr>
          <w:rFonts w:ascii="Times New Roman" w:hAnsi="Times New Roman" w:cs="Times New Roman"/>
          <w:sz w:val="24"/>
          <w:szCs w:val="24"/>
        </w:rPr>
      </w:pPr>
      <w:r>
        <w:rPr>
          <w:rFonts w:ascii="Times New Roman" w:hAnsi="Times New Roman" w:cs="Times New Roman"/>
          <w:sz w:val="24"/>
          <w:szCs w:val="24"/>
        </w:rPr>
        <w:tab/>
      </w:r>
    </w:p>
    <w:p w:rsidR="00D17C00" w:rsidRDefault="00D17C00" w:rsidP="00D17C00">
      <w:pPr>
        <w:tabs>
          <w:tab w:val="left" w:pos="8115"/>
        </w:tabs>
        <w:rPr>
          <w:rFonts w:ascii="Times New Roman" w:hAnsi="Times New Roman" w:cs="Times New Roman"/>
          <w:sz w:val="24"/>
          <w:szCs w:val="24"/>
        </w:rPr>
      </w:pPr>
    </w:p>
    <w:p w:rsidR="00D17C00" w:rsidRDefault="00D17C00" w:rsidP="00D17C00">
      <w:pPr>
        <w:tabs>
          <w:tab w:val="left" w:pos="8115"/>
        </w:tabs>
        <w:rPr>
          <w:rFonts w:ascii="Times New Roman" w:hAnsi="Times New Roman" w:cs="Times New Roman"/>
          <w:sz w:val="24"/>
          <w:szCs w:val="24"/>
        </w:rPr>
      </w:pPr>
    </w:p>
    <w:p w:rsidR="00D17C00" w:rsidRDefault="00D17C00" w:rsidP="004419A3">
      <w:pPr>
        <w:tabs>
          <w:tab w:val="left" w:pos="8115"/>
        </w:tab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32486" w:rsidRPr="00932486" w:rsidRDefault="00932486" w:rsidP="00932486">
      <w:pPr>
        <w:ind w:left="720" w:hanging="720"/>
        <w:jc w:val="both"/>
        <w:outlineLvl w:val="3"/>
        <w:rPr>
          <w:rFonts w:ascii="Times New Roman" w:hAnsi="Times New Roman" w:cs="Times New Roman"/>
          <w:color w:val="222222"/>
          <w:sz w:val="24"/>
          <w:szCs w:val="24"/>
          <w:shd w:val="clear" w:color="auto" w:fill="FFFFFF"/>
        </w:rPr>
      </w:pPr>
      <w:proofErr w:type="spellStart"/>
      <w:r w:rsidRPr="00932486">
        <w:rPr>
          <w:rFonts w:ascii="Times New Roman" w:hAnsi="Times New Roman" w:cs="Times New Roman"/>
          <w:color w:val="222222"/>
          <w:sz w:val="24"/>
          <w:szCs w:val="24"/>
          <w:shd w:val="clear" w:color="auto" w:fill="FFFFFF"/>
        </w:rPr>
        <w:t>Bjartveit</w:t>
      </w:r>
      <w:proofErr w:type="spellEnd"/>
      <w:r w:rsidRPr="00932486">
        <w:rPr>
          <w:rFonts w:ascii="Times New Roman" w:hAnsi="Times New Roman" w:cs="Times New Roman"/>
          <w:color w:val="222222"/>
          <w:sz w:val="24"/>
          <w:szCs w:val="24"/>
          <w:shd w:val="clear" w:color="auto" w:fill="FFFFFF"/>
        </w:rPr>
        <w:t xml:space="preserve">, C., &amp; </w:t>
      </w:r>
      <w:proofErr w:type="spellStart"/>
      <w:r w:rsidRPr="00932486">
        <w:rPr>
          <w:rFonts w:ascii="Times New Roman" w:hAnsi="Times New Roman" w:cs="Times New Roman"/>
          <w:color w:val="222222"/>
          <w:sz w:val="24"/>
          <w:szCs w:val="24"/>
          <w:shd w:val="clear" w:color="auto" w:fill="FFFFFF"/>
        </w:rPr>
        <w:t>Panayotidis</w:t>
      </w:r>
      <w:proofErr w:type="spellEnd"/>
      <w:r w:rsidRPr="00932486">
        <w:rPr>
          <w:rFonts w:ascii="Times New Roman" w:hAnsi="Times New Roman" w:cs="Times New Roman"/>
          <w:color w:val="222222"/>
          <w:sz w:val="24"/>
          <w:szCs w:val="24"/>
          <w:shd w:val="clear" w:color="auto" w:fill="FFFFFF"/>
        </w:rPr>
        <w:t>, E. L. (2014). Raising the house of Rousseau: Historical consciousness in the contemporary ECE teacher education classroom. </w:t>
      </w:r>
      <w:r w:rsidRPr="00932486">
        <w:rPr>
          <w:rFonts w:ascii="Times New Roman" w:hAnsi="Times New Roman" w:cs="Times New Roman"/>
          <w:i/>
          <w:iCs/>
          <w:color w:val="222222"/>
          <w:sz w:val="24"/>
          <w:szCs w:val="24"/>
          <w:shd w:val="clear" w:color="auto" w:fill="FFFFFF"/>
        </w:rPr>
        <w:t>Journal of Curriculum Theorizing</w:t>
      </w:r>
      <w:r w:rsidRPr="00932486">
        <w:rPr>
          <w:rFonts w:ascii="Times New Roman" w:hAnsi="Times New Roman" w:cs="Times New Roman"/>
          <w:color w:val="222222"/>
          <w:sz w:val="24"/>
          <w:szCs w:val="24"/>
          <w:shd w:val="clear" w:color="auto" w:fill="FFFFFF"/>
        </w:rPr>
        <w:t>, </w:t>
      </w:r>
      <w:r w:rsidRPr="00932486">
        <w:rPr>
          <w:rFonts w:ascii="Times New Roman" w:hAnsi="Times New Roman" w:cs="Times New Roman"/>
          <w:i/>
          <w:iCs/>
          <w:color w:val="222222"/>
          <w:sz w:val="24"/>
          <w:szCs w:val="24"/>
          <w:shd w:val="clear" w:color="auto" w:fill="FFFFFF"/>
        </w:rPr>
        <w:t>30</w:t>
      </w:r>
      <w:r w:rsidRPr="00932486">
        <w:rPr>
          <w:rFonts w:ascii="Times New Roman" w:hAnsi="Times New Roman" w:cs="Times New Roman"/>
          <w:color w:val="222222"/>
          <w:sz w:val="24"/>
          <w:szCs w:val="24"/>
          <w:shd w:val="clear" w:color="auto" w:fill="FFFFFF"/>
        </w:rPr>
        <w:t>(1).</w:t>
      </w:r>
    </w:p>
    <w:p w:rsidR="00932486" w:rsidRPr="00932486" w:rsidRDefault="00932486" w:rsidP="00932486">
      <w:pPr>
        <w:ind w:left="720" w:hanging="720"/>
        <w:jc w:val="both"/>
        <w:outlineLvl w:val="3"/>
        <w:rPr>
          <w:rFonts w:ascii="Times New Roman" w:hAnsi="Times New Roman" w:cs="Times New Roman"/>
          <w:color w:val="222222"/>
          <w:sz w:val="24"/>
          <w:szCs w:val="24"/>
          <w:shd w:val="clear" w:color="auto" w:fill="FFFFFF"/>
        </w:rPr>
      </w:pPr>
      <w:proofErr w:type="spellStart"/>
      <w:r w:rsidRPr="00932486">
        <w:rPr>
          <w:rFonts w:ascii="Times New Roman" w:hAnsi="Times New Roman" w:cs="Times New Roman"/>
          <w:color w:val="222222"/>
          <w:sz w:val="24"/>
          <w:szCs w:val="24"/>
          <w:shd w:val="clear" w:color="auto" w:fill="FFFFFF"/>
        </w:rPr>
        <w:t>Bredekamp</w:t>
      </w:r>
      <w:proofErr w:type="spellEnd"/>
      <w:r w:rsidRPr="00932486">
        <w:rPr>
          <w:rFonts w:ascii="Times New Roman" w:hAnsi="Times New Roman" w:cs="Times New Roman"/>
          <w:color w:val="222222"/>
          <w:sz w:val="24"/>
          <w:szCs w:val="24"/>
          <w:shd w:val="clear" w:color="auto" w:fill="FFFFFF"/>
        </w:rPr>
        <w:t>, S. (2014). </w:t>
      </w:r>
      <w:r w:rsidRPr="00932486">
        <w:rPr>
          <w:rFonts w:ascii="Times New Roman" w:hAnsi="Times New Roman" w:cs="Times New Roman"/>
          <w:i/>
          <w:iCs/>
          <w:color w:val="222222"/>
          <w:sz w:val="24"/>
          <w:szCs w:val="24"/>
          <w:shd w:val="clear" w:color="auto" w:fill="FFFFFF"/>
        </w:rPr>
        <w:t>Effective practices in early childhood education: Building a foundation</w:t>
      </w:r>
      <w:r w:rsidRPr="00932486">
        <w:rPr>
          <w:rFonts w:ascii="Times New Roman" w:hAnsi="Times New Roman" w:cs="Times New Roman"/>
          <w:color w:val="222222"/>
          <w:sz w:val="24"/>
          <w:szCs w:val="24"/>
          <w:shd w:val="clear" w:color="auto" w:fill="FFFFFF"/>
        </w:rPr>
        <w:t>. Upper Saddle River, NJ: Pearson.</w:t>
      </w:r>
    </w:p>
    <w:p w:rsidR="00932486" w:rsidRPr="00932486" w:rsidRDefault="00932486" w:rsidP="00932486">
      <w:pPr>
        <w:ind w:left="720" w:hanging="720"/>
        <w:jc w:val="both"/>
        <w:outlineLvl w:val="3"/>
        <w:rPr>
          <w:rFonts w:ascii="Times New Roman" w:hAnsi="Times New Roman" w:cs="Times New Roman"/>
          <w:color w:val="222222"/>
          <w:sz w:val="24"/>
          <w:szCs w:val="24"/>
          <w:shd w:val="clear" w:color="auto" w:fill="FFFFFF"/>
        </w:rPr>
      </w:pPr>
      <w:proofErr w:type="spellStart"/>
      <w:r w:rsidRPr="00932486">
        <w:rPr>
          <w:rFonts w:ascii="Times New Roman" w:hAnsi="Times New Roman" w:cs="Times New Roman"/>
          <w:color w:val="222222"/>
          <w:sz w:val="24"/>
          <w:szCs w:val="24"/>
          <w:shd w:val="clear" w:color="auto" w:fill="FFFFFF"/>
        </w:rPr>
        <w:t>Britto</w:t>
      </w:r>
      <w:proofErr w:type="spellEnd"/>
      <w:r w:rsidRPr="00932486">
        <w:rPr>
          <w:rFonts w:ascii="Times New Roman" w:hAnsi="Times New Roman" w:cs="Times New Roman"/>
          <w:color w:val="222222"/>
          <w:sz w:val="24"/>
          <w:szCs w:val="24"/>
          <w:shd w:val="clear" w:color="auto" w:fill="FFFFFF"/>
        </w:rPr>
        <w:t xml:space="preserve">, P. R., Lye, S. J., </w:t>
      </w:r>
      <w:proofErr w:type="spellStart"/>
      <w:r w:rsidRPr="00932486">
        <w:rPr>
          <w:rFonts w:ascii="Times New Roman" w:hAnsi="Times New Roman" w:cs="Times New Roman"/>
          <w:color w:val="222222"/>
          <w:sz w:val="24"/>
          <w:szCs w:val="24"/>
          <w:shd w:val="clear" w:color="auto" w:fill="FFFFFF"/>
        </w:rPr>
        <w:t>Proulx</w:t>
      </w:r>
      <w:proofErr w:type="spellEnd"/>
      <w:r w:rsidRPr="00932486">
        <w:rPr>
          <w:rFonts w:ascii="Times New Roman" w:hAnsi="Times New Roman" w:cs="Times New Roman"/>
          <w:color w:val="222222"/>
          <w:sz w:val="24"/>
          <w:szCs w:val="24"/>
          <w:shd w:val="clear" w:color="auto" w:fill="FFFFFF"/>
        </w:rPr>
        <w:t xml:space="preserve">, K., Yousafzai, A. K., Matthews, S. G., </w:t>
      </w:r>
      <w:proofErr w:type="spellStart"/>
      <w:r w:rsidRPr="00932486">
        <w:rPr>
          <w:rFonts w:ascii="Times New Roman" w:hAnsi="Times New Roman" w:cs="Times New Roman"/>
          <w:color w:val="222222"/>
          <w:sz w:val="24"/>
          <w:szCs w:val="24"/>
          <w:shd w:val="clear" w:color="auto" w:fill="FFFFFF"/>
        </w:rPr>
        <w:t>Vaivada</w:t>
      </w:r>
      <w:proofErr w:type="spellEnd"/>
      <w:r w:rsidRPr="00932486">
        <w:rPr>
          <w:rFonts w:ascii="Times New Roman" w:hAnsi="Times New Roman" w:cs="Times New Roman"/>
          <w:color w:val="222222"/>
          <w:sz w:val="24"/>
          <w:szCs w:val="24"/>
          <w:shd w:val="clear" w:color="auto" w:fill="FFFFFF"/>
        </w:rPr>
        <w:t>, T., ... &amp; MacMillan, H. (2017). Nurturing care: promoting early childhood development. </w:t>
      </w:r>
      <w:r w:rsidRPr="00932486">
        <w:rPr>
          <w:rFonts w:ascii="Times New Roman" w:hAnsi="Times New Roman" w:cs="Times New Roman"/>
          <w:i/>
          <w:iCs/>
          <w:color w:val="222222"/>
          <w:sz w:val="24"/>
          <w:szCs w:val="24"/>
          <w:shd w:val="clear" w:color="auto" w:fill="FFFFFF"/>
        </w:rPr>
        <w:t>The Lancet</w:t>
      </w:r>
      <w:r w:rsidRPr="00932486">
        <w:rPr>
          <w:rFonts w:ascii="Times New Roman" w:hAnsi="Times New Roman" w:cs="Times New Roman"/>
          <w:color w:val="222222"/>
          <w:sz w:val="24"/>
          <w:szCs w:val="24"/>
          <w:shd w:val="clear" w:color="auto" w:fill="FFFFFF"/>
        </w:rPr>
        <w:t>, </w:t>
      </w:r>
      <w:r w:rsidRPr="00932486">
        <w:rPr>
          <w:rFonts w:ascii="Times New Roman" w:hAnsi="Times New Roman" w:cs="Times New Roman"/>
          <w:i/>
          <w:iCs/>
          <w:color w:val="222222"/>
          <w:sz w:val="24"/>
          <w:szCs w:val="24"/>
          <w:shd w:val="clear" w:color="auto" w:fill="FFFFFF"/>
        </w:rPr>
        <w:t>389</w:t>
      </w:r>
      <w:r w:rsidRPr="00932486">
        <w:rPr>
          <w:rFonts w:ascii="Times New Roman" w:hAnsi="Times New Roman" w:cs="Times New Roman"/>
          <w:color w:val="222222"/>
          <w:sz w:val="24"/>
          <w:szCs w:val="24"/>
          <w:shd w:val="clear" w:color="auto" w:fill="FFFFFF"/>
        </w:rPr>
        <w:t>(10064), 91-102.</w:t>
      </w:r>
    </w:p>
    <w:p w:rsidR="00932486" w:rsidRPr="00932486" w:rsidRDefault="00932486" w:rsidP="00932486">
      <w:pPr>
        <w:ind w:left="720" w:hanging="720"/>
        <w:jc w:val="both"/>
        <w:outlineLvl w:val="3"/>
        <w:rPr>
          <w:rFonts w:ascii="Times New Roman" w:hAnsi="Times New Roman" w:cs="Times New Roman"/>
          <w:color w:val="222222"/>
          <w:sz w:val="24"/>
          <w:szCs w:val="24"/>
          <w:shd w:val="clear" w:color="auto" w:fill="FFFFFF"/>
        </w:rPr>
      </w:pPr>
      <w:r w:rsidRPr="00932486">
        <w:rPr>
          <w:rFonts w:ascii="Times New Roman" w:hAnsi="Times New Roman" w:cs="Times New Roman"/>
          <w:color w:val="222222"/>
          <w:sz w:val="24"/>
          <w:szCs w:val="24"/>
          <w:shd w:val="clear" w:color="auto" w:fill="FFFFFF"/>
        </w:rPr>
        <w:t xml:space="preserve">Connelly, J. A., Champagne, M., &amp; </w:t>
      </w:r>
      <w:proofErr w:type="spellStart"/>
      <w:r w:rsidRPr="00932486">
        <w:rPr>
          <w:rFonts w:ascii="Times New Roman" w:hAnsi="Times New Roman" w:cs="Times New Roman"/>
          <w:color w:val="222222"/>
          <w:sz w:val="24"/>
          <w:szCs w:val="24"/>
          <w:shd w:val="clear" w:color="auto" w:fill="FFFFFF"/>
        </w:rPr>
        <w:t>Manningham</w:t>
      </w:r>
      <w:proofErr w:type="spellEnd"/>
      <w:r w:rsidRPr="00932486">
        <w:rPr>
          <w:rFonts w:ascii="Times New Roman" w:hAnsi="Times New Roman" w:cs="Times New Roman"/>
          <w:color w:val="222222"/>
          <w:sz w:val="24"/>
          <w:szCs w:val="24"/>
          <w:shd w:val="clear" w:color="auto" w:fill="FFFFFF"/>
        </w:rPr>
        <w:t>, S. (2018). Early Childhood Educators’ Perception of Their Role in Children’s Physical Activity: Do We Need to Clarify Expectations</w:t>
      </w:r>
      <w:r w:rsidR="004419A3" w:rsidRPr="00932486">
        <w:rPr>
          <w:rFonts w:ascii="Times New Roman" w:hAnsi="Times New Roman" w:cs="Times New Roman"/>
          <w:color w:val="222222"/>
          <w:sz w:val="24"/>
          <w:szCs w:val="24"/>
          <w:shd w:val="clear" w:color="auto" w:fill="FFFFFF"/>
        </w:rPr>
        <w:t>?</w:t>
      </w:r>
      <w:r w:rsidRPr="00932486">
        <w:rPr>
          <w:rFonts w:ascii="Times New Roman" w:hAnsi="Times New Roman" w:cs="Times New Roman"/>
          <w:color w:val="222222"/>
          <w:sz w:val="24"/>
          <w:szCs w:val="24"/>
          <w:shd w:val="clear" w:color="auto" w:fill="FFFFFF"/>
        </w:rPr>
        <w:t> </w:t>
      </w:r>
      <w:r w:rsidRPr="00932486">
        <w:rPr>
          <w:rFonts w:ascii="Times New Roman" w:hAnsi="Times New Roman" w:cs="Times New Roman"/>
          <w:i/>
          <w:iCs/>
          <w:color w:val="222222"/>
          <w:sz w:val="24"/>
          <w:szCs w:val="24"/>
          <w:shd w:val="clear" w:color="auto" w:fill="FFFFFF"/>
        </w:rPr>
        <w:t>Journal of Research in Childhood Education</w:t>
      </w:r>
      <w:r w:rsidRPr="00932486">
        <w:rPr>
          <w:rFonts w:ascii="Times New Roman" w:hAnsi="Times New Roman" w:cs="Times New Roman"/>
          <w:color w:val="222222"/>
          <w:sz w:val="24"/>
          <w:szCs w:val="24"/>
          <w:shd w:val="clear" w:color="auto" w:fill="FFFFFF"/>
        </w:rPr>
        <w:t>, 1-12.</w:t>
      </w:r>
    </w:p>
    <w:p w:rsidR="00932486" w:rsidRPr="00932486" w:rsidRDefault="00932486" w:rsidP="00932486">
      <w:pPr>
        <w:ind w:left="720" w:hanging="720"/>
        <w:jc w:val="both"/>
        <w:outlineLvl w:val="3"/>
        <w:rPr>
          <w:rFonts w:ascii="Times New Roman" w:hAnsi="Times New Roman" w:cs="Times New Roman"/>
          <w:color w:val="222222"/>
          <w:sz w:val="24"/>
          <w:szCs w:val="24"/>
          <w:shd w:val="clear" w:color="auto" w:fill="FFFFFF"/>
        </w:rPr>
      </w:pPr>
      <w:r w:rsidRPr="00932486">
        <w:rPr>
          <w:rFonts w:ascii="Times New Roman" w:hAnsi="Times New Roman" w:cs="Times New Roman"/>
          <w:color w:val="222222"/>
          <w:sz w:val="24"/>
          <w:szCs w:val="24"/>
          <w:shd w:val="clear" w:color="auto" w:fill="FFFFFF"/>
        </w:rPr>
        <w:t xml:space="preserve">Edwards, C. P., &amp; </w:t>
      </w:r>
      <w:proofErr w:type="spellStart"/>
      <w:r w:rsidRPr="00932486">
        <w:rPr>
          <w:rFonts w:ascii="Times New Roman" w:hAnsi="Times New Roman" w:cs="Times New Roman"/>
          <w:color w:val="222222"/>
          <w:sz w:val="24"/>
          <w:szCs w:val="24"/>
          <w:shd w:val="clear" w:color="auto" w:fill="FFFFFF"/>
        </w:rPr>
        <w:t>Gandini</w:t>
      </w:r>
      <w:proofErr w:type="spellEnd"/>
      <w:r w:rsidRPr="00932486">
        <w:rPr>
          <w:rFonts w:ascii="Times New Roman" w:hAnsi="Times New Roman" w:cs="Times New Roman"/>
          <w:color w:val="222222"/>
          <w:sz w:val="24"/>
          <w:szCs w:val="24"/>
          <w:shd w:val="clear" w:color="auto" w:fill="FFFFFF"/>
        </w:rPr>
        <w:t>, L. (2018). The Reggio Emilia approach to early childhood education. In </w:t>
      </w:r>
      <w:r w:rsidRPr="00932486">
        <w:rPr>
          <w:rFonts w:ascii="Times New Roman" w:hAnsi="Times New Roman" w:cs="Times New Roman"/>
          <w:i/>
          <w:iCs/>
          <w:color w:val="222222"/>
          <w:sz w:val="24"/>
          <w:szCs w:val="24"/>
          <w:shd w:val="clear" w:color="auto" w:fill="FFFFFF"/>
        </w:rPr>
        <w:t>Handbook of international perspectives on early childhood education</w:t>
      </w:r>
      <w:r w:rsidRPr="00932486">
        <w:rPr>
          <w:rFonts w:ascii="Times New Roman" w:hAnsi="Times New Roman" w:cs="Times New Roman"/>
          <w:color w:val="222222"/>
          <w:sz w:val="24"/>
          <w:szCs w:val="24"/>
          <w:shd w:val="clear" w:color="auto" w:fill="FFFFFF"/>
        </w:rPr>
        <w:t> (pp. 365-378). Routledge.</w:t>
      </w:r>
    </w:p>
    <w:p w:rsidR="00932486" w:rsidRDefault="00932486" w:rsidP="00932486">
      <w:pPr>
        <w:ind w:left="720" w:hanging="720"/>
        <w:jc w:val="both"/>
        <w:outlineLvl w:val="3"/>
        <w:rPr>
          <w:rFonts w:ascii="Times New Roman" w:eastAsia="Times New Roman" w:hAnsi="Times New Roman" w:cs="Times New Roman"/>
          <w:color w:val="000000"/>
          <w:sz w:val="24"/>
          <w:szCs w:val="24"/>
        </w:rPr>
      </w:pPr>
      <w:proofErr w:type="spellStart"/>
      <w:r w:rsidRPr="00B33EE1">
        <w:rPr>
          <w:rFonts w:ascii="Times New Roman" w:eastAsia="Times New Roman" w:hAnsi="Times New Roman" w:cs="Times New Roman"/>
          <w:color w:val="000000"/>
          <w:sz w:val="24"/>
          <w:szCs w:val="24"/>
        </w:rPr>
        <w:t>Lipoff</w:t>
      </w:r>
      <w:proofErr w:type="spellEnd"/>
      <w:r w:rsidRPr="00B33EE1">
        <w:rPr>
          <w:rFonts w:ascii="Times New Roman" w:eastAsia="Times New Roman" w:hAnsi="Times New Roman" w:cs="Times New Roman"/>
          <w:color w:val="000000"/>
          <w:sz w:val="24"/>
          <w:szCs w:val="24"/>
        </w:rPr>
        <w:t>, S. (2018). </w:t>
      </w:r>
      <w:r w:rsidRPr="00B33EE1">
        <w:rPr>
          <w:rFonts w:ascii="Times New Roman" w:eastAsia="Times New Roman" w:hAnsi="Times New Roman" w:cs="Times New Roman"/>
          <w:i/>
          <w:iCs/>
          <w:color w:val="000000"/>
          <w:sz w:val="24"/>
          <w:szCs w:val="24"/>
        </w:rPr>
        <w:t xml:space="preserve">History of Early Childhood Education | </w:t>
      </w:r>
      <w:r w:rsidR="004419A3" w:rsidRPr="00B33EE1">
        <w:rPr>
          <w:rFonts w:ascii="Times New Roman" w:eastAsia="Times New Roman" w:hAnsi="Times New Roman" w:cs="Times New Roman"/>
          <w:i/>
          <w:iCs/>
          <w:color w:val="000000"/>
          <w:sz w:val="24"/>
          <w:szCs w:val="24"/>
        </w:rPr>
        <w:t>Understandings</w:t>
      </w:r>
      <w:r w:rsidRPr="00B33EE1">
        <w:rPr>
          <w:rFonts w:ascii="Times New Roman" w:eastAsia="Times New Roman" w:hAnsi="Times New Roman" w:cs="Times New Roman"/>
          <w:i/>
          <w:iCs/>
          <w:color w:val="000000"/>
          <w:sz w:val="24"/>
          <w:szCs w:val="24"/>
        </w:rPr>
        <w:t>: Education, Curriculum and Learning Resources</w:t>
      </w:r>
      <w:r w:rsidRPr="00B33EE1">
        <w:rPr>
          <w:rFonts w:ascii="Times New Roman" w:eastAsia="Times New Roman" w:hAnsi="Times New Roman" w:cs="Times New Roman"/>
          <w:color w:val="000000"/>
          <w:sz w:val="24"/>
          <w:szCs w:val="24"/>
        </w:rPr>
        <w:t>. </w:t>
      </w:r>
      <w:r w:rsidRPr="00B33EE1">
        <w:rPr>
          <w:rFonts w:ascii="Times New Roman" w:eastAsia="Times New Roman" w:hAnsi="Times New Roman" w:cs="Times New Roman"/>
          <w:i/>
          <w:iCs/>
          <w:color w:val="000000"/>
          <w:sz w:val="24"/>
          <w:szCs w:val="24"/>
        </w:rPr>
        <w:t>Funderstanding.com</w:t>
      </w:r>
      <w:r w:rsidRPr="00B33EE1">
        <w:rPr>
          <w:rFonts w:ascii="Times New Roman" w:eastAsia="Times New Roman" w:hAnsi="Times New Roman" w:cs="Times New Roman"/>
          <w:color w:val="000000"/>
          <w:sz w:val="24"/>
          <w:szCs w:val="24"/>
        </w:rPr>
        <w:t xml:space="preserve">. Retrieved 1 December 2018, from </w:t>
      </w:r>
      <w:hyperlink r:id="rId7" w:history="1">
        <w:r w:rsidRPr="00932486">
          <w:rPr>
            <w:rStyle w:val="Hyperlink"/>
            <w:rFonts w:ascii="Times New Roman" w:eastAsia="Times New Roman" w:hAnsi="Times New Roman" w:cs="Times New Roman"/>
            <w:sz w:val="24"/>
            <w:szCs w:val="24"/>
          </w:rPr>
          <w:t>https://www.funderstanding.com/educators/history-of-education-2/</w:t>
        </w:r>
      </w:hyperlink>
      <w:r w:rsidRPr="00932486">
        <w:rPr>
          <w:rFonts w:ascii="Times New Roman" w:eastAsia="Times New Roman" w:hAnsi="Times New Roman" w:cs="Times New Roman"/>
          <w:color w:val="000000"/>
          <w:sz w:val="24"/>
          <w:szCs w:val="24"/>
        </w:rPr>
        <w:t xml:space="preserve"> </w:t>
      </w:r>
    </w:p>
    <w:p w:rsidR="00AE7E2E" w:rsidRPr="006327ED" w:rsidRDefault="00AE7E2E" w:rsidP="00932486">
      <w:pPr>
        <w:ind w:left="720" w:hanging="720"/>
        <w:jc w:val="both"/>
        <w:outlineLvl w:val="3"/>
        <w:rPr>
          <w:rFonts w:ascii="Times New Roman" w:eastAsia="Times New Roman" w:hAnsi="Times New Roman" w:cs="Times New Roman"/>
          <w:color w:val="000000"/>
          <w:sz w:val="24"/>
          <w:szCs w:val="24"/>
        </w:rPr>
      </w:pPr>
      <w:proofErr w:type="spellStart"/>
      <w:r w:rsidRPr="006327ED">
        <w:rPr>
          <w:rFonts w:ascii="Times New Roman" w:hAnsi="Times New Roman" w:cs="Times New Roman"/>
          <w:color w:val="222222"/>
          <w:sz w:val="24"/>
          <w:szCs w:val="24"/>
          <w:shd w:val="clear" w:color="auto" w:fill="FFFFFF"/>
        </w:rPr>
        <w:t>Prochner</w:t>
      </w:r>
      <w:proofErr w:type="spellEnd"/>
      <w:r w:rsidRPr="006327ED">
        <w:rPr>
          <w:rFonts w:ascii="Times New Roman" w:hAnsi="Times New Roman" w:cs="Times New Roman"/>
          <w:color w:val="222222"/>
          <w:sz w:val="24"/>
          <w:szCs w:val="24"/>
          <w:shd w:val="clear" w:color="auto" w:fill="FFFFFF"/>
        </w:rPr>
        <w:t xml:space="preserve">, L., &amp; </w:t>
      </w:r>
      <w:proofErr w:type="spellStart"/>
      <w:r w:rsidRPr="006327ED">
        <w:rPr>
          <w:rFonts w:ascii="Times New Roman" w:hAnsi="Times New Roman" w:cs="Times New Roman"/>
          <w:color w:val="222222"/>
          <w:sz w:val="24"/>
          <w:szCs w:val="24"/>
          <w:shd w:val="clear" w:color="auto" w:fill="FFFFFF"/>
        </w:rPr>
        <w:t>Kirova</w:t>
      </w:r>
      <w:proofErr w:type="spellEnd"/>
      <w:r w:rsidRPr="006327ED">
        <w:rPr>
          <w:rFonts w:ascii="Times New Roman" w:hAnsi="Times New Roman" w:cs="Times New Roman"/>
          <w:color w:val="222222"/>
          <w:sz w:val="24"/>
          <w:szCs w:val="24"/>
          <w:shd w:val="clear" w:color="auto" w:fill="FFFFFF"/>
        </w:rPr>
        <w:t>, A. (2018). Early Childhood Education in Canada. In </w:t>
      </w:r>
      <w:r w:rsidRPr="006327ED">
        <w:rPr>
          <w:rFonts w:ascii="Times New Roman" w:hAnsi="Times New Roman" w:cs="Times New Roman"/>
          <w:i/>
          <w:iCs/>
          <w:color w:val="222222"/>
          <w:sz w:val="24"/>
          <w:szCs w:val="24"/>
          <w:shd w:val="clear" w:color="auto" w:fill="FFFFFF"/>
        </w:rPr>
        <w:t>Handbook of International Perspectives on Early Childhood Education</w:t>
      </w:r>
      <w:r w:rsidRPr="006327ED">
        <w:rPr>
          <w:rFonts w:ascii="Times New Roman" w:hAnsi="Times New Roman" w:cs="Times New Roman"/>
          <w:color w:val="222222"/>
          <w:sz w:val="24"/>
          <w:szCs w:val="24"/>
          <w:shd w:val="clear" w:color="auto" w:fill="FFFFFF"/>
        </w:rPr>
        <w:t> (pp. 392-407). Routledge.</w:t>
      </w:r>
    </w:p>
    <w:p w:rsidR="00932486" w:rsidRPr="00B33EE1" w:rsidRDefault="00932486" w:rsidP="00B33EE1">
      <w:pPr>
        <w:spacing w:line="360" w:lineRule="atLeast"/>
        <w:outlineLvl w:val="3"/>
        <w:rPr>
          <w:rFonts w:ascii="Segoe UI" w:eastAsia="Times New Roman" w:hAnsi="Segoe UI" w:cs="Segoe UI"/>
          <w:color w:val="000000"/>
          <w:sz w:val="21"/>
          <w:szCs w:val="21"/>
        </w:rPr>
      </w:pPr>
    </w:p>
    <w:p w:rsidR="00D17C00" w:rsidRPr="00D17C00" w:rsidRDefault="00D17C00" w:rsidP="00D17C00">
      <w:pPr>
        <w:tabs>
          <w:tab w:val="left" w:pos="8115"/>
        </w:tabs>
        <w:rPr>
          <w:rFonts w:ascii="Times New Roman" w:hAnsi="Times New Roman" w:cs="Times New Roman"/>
          <w:sz w:val="24"/>
          <w:szCs w:val="24"/>
        </w:rPr>
      </w:pPr>
    </w:p>
    <w:sectPr w:rsidR="00D17C00" w:rsidRPr="00D17C00" w:rsidSect="00D17C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71B" w:rsidRDefault="00D7371B" w:rsidP="00D17C00">
      <w:pPr>
        <w:spacing w:line="240" w:lineRule="auto"/>
      </w:pPr>
      <w:r>
        <w:separator/>
      </w:r>
    </w:p>
  </w:endnote>
  <w:endnote w:type="continuationSeparator" w:id="0">
    <w:p w:rsidR="00D7371B" w:rsidRDefault="00D7371B" w:rsidP="00D17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71B" w:rsidRDefault="00D7371B" w:rsidP="00D17C00">
      <w:pPr>
        <w:spacing w:line="240" w:lineRule="auto"/>
      </w:pPr>
      <w:r>
        <w:separator/>
      </w:r>
    </w:p>
  </w:footnote>
  <w:footnote w:type="continuationSeparator" w:id="0">
    <w:p w:rsidR="00D7371B" w:rsidRDefault="00D7371B" w:rsidP="00D17C0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C00" w:rsidRPr="00D17C00" w:rsidRDefault="00215346">
    <w:pPr>
      <w:pStyle w:val="Header"/>
      <w:jc w:val="right"/>
      <w:rPr>
        <w:rFonts w:ascii="Times New Roman" w:hAnsi="Times New Roman" w:cs="Times New Roman"/>
        <w:sz w:val="24"/>
        <w:szCs w:val="24"/>
      </w:rPr>
    </w:pPr>
    <w:r>
      <w:rPr>
        <w:rFonts w:ascii="Times New Roman" w:hAnsi="Times New Roman" w:cs="Times New Roman"/>
        <w:sz w:val="24"/>
        <w:szCs w:val="24"/>
      </w:rPr>
      <w:t>EARLY LEARNING IN OTTAWA</w:t>
    </w:r>
    <w:r w:rsidR="00AE7E2E">
      <w:rPr>
        <w:rFonts w:ascii="Times New Roman" w:hAnsi="Times New Roman" w:cs="Times New Roman"/>
        <w:sz w:val="24"/>
        <w:szCs w:val="24"/>
      </w:rPr>
      <w:t xml:space="preserve">              </w:t>
    </w:r>
    <w:r w:rsidR="00D17C00" w:rsidRPr="00D17C00">
      <w:rPr>
        <w:rFonts w:ascii="Times New Roman" w:hAnsi="Times New Roman" w:cs="Times New Roman"/>
        <w:sz w:val="24"/>
        <w:szCs w:val="24"/>
      </w:rPr>
      <w:t xml:space="preserve">       </w:t>
    </w:r>
    <w:r>
      <w:rPr>
        <w:rFonts w:ascii="Times New Roman" w:hAnsi="Times New Roman" w:cs="Times New Roman"/>
        <w:sz w:val="24"/>
        <w:szCs w:val="24"/>
      </w:rPr>
      <w:t xml:space="preserve">  </w:t>
    </w:r>
    <w:r w:rsidR="00D17C00">
      <w:rPr>
        <w:rFonts w:ascii="Times New Roman" w:hAnsi="Times New Roman" w:cs="Times New Roman"/>
        <w:sz w:val="24"/>
        <w:szCs w:val="24"/>
      </w:rPr>
      <w:t xml:space="preserve">                                                                   </w:t>
    </w:r>
    <w:r w:rsidR="00D17C00" w:rsidRPr="00D17C00">
      <w:rPr>
        <w:rFonts w:ascii="Times New Roman" w:hAnsi="Times New Roman" w:cs="Times New Roman"/>
        <w:sz w:val="24"/>
        <w:szCs w:val="24"/>
      </w:rPr>
      <w:t xml:space="preserve"> </w:t>
    </w:r>
    <w:sdt>
      <w:sdtPr>
        <w:rPr>
          <w:rFonts w:ascii="Times New Roman" w:hAnsi="Times New Roman" w:cs="Times New Roman"/>
          <w:sz w:val="24"/>
          <w:szCs w:val="24"/>
        </w:rPr>
        <w:id w:val="319932690"/>
        <w:docPartObj>
          <w:docPartGallery w:val="Page Numbers (Top of Page)"/>
          <w:docPartUnique/>
        </w:docPartObj>
      </w:sdtPr>
      <w:sdtEndPr>
        <w:rPr>
          <w:noProof/>
        </w:rPr>
      </w:sdtEndPr>
      <w:sdtContent>
        <w:r w:rsidR="00D17C00" w:rsidRPr="00D17C00">
          <w:rPr>
            <w:rFonts w:ascii="Times New Roman" w:hAnsi="Times New Roman" w:cs="Times New Roman"/>
            <w:sz w:val="24"/>
            <w:szCs w:val="24"/>
          </w:rPr>
          <w:fldChar w:fldCharType="begin"/>
        </w:r>
        <w:r w:rsidR="00D17C00" w:rsidRPr="00D17C00">
          <w:rPr>
            <w:rFonts w:ascii="Times New Roman" w:hAnsi="Times New Roman" w:cs="Times New Roman"/>
            <w:sz w:val="24"/>
            <w:szCs w:val="24"/>
          </w:rPr>
          <w:instrText xml:space="preserve"> PAGE   \* MERGEFORMAT </w:instrText>
        </w:r>
        <w:r w:rsidR="00D17C00" w:rsidRPr="00D17C00">
          <w:rPr>
            <w:rFonts w:ascii="Times New Roman" w:hAnsi="Times New Roman" w:cs="Times New Roman"/>
            <w:sz w:val="24"/>
            <w:szCs w:val="24"/>
          </w:rPr>
          <w:fldChar w:fldCharType="separate"/>
        </w:r>
        <w:r w:rsidR="00A32FC8">
          <w:rPr>
            <w:rFonts w:ascii="Times New Roman" w:hAnsi="Times New Roman" w:cs="Times New Roman"/>
            <w:noProof/>
            <w:sz w:val="24"/>
            <w:szCs w:val="24"/>
          </w:rPr>
          <w:t>4</w:t>
        </w:r>
        <w:r w:rsidR="00D17C00" w:rsidRPr="00D17C00">
          <w:rPr>
            <w:rFonts w:ascii="Times New Roman" w:hAnsi="Times New Roman" w:cs="Times New Roman"/>
            <w:noProof/>
            <w:sz w:val="24"/>
            <w:szCs w:val="24"/>
          </w:rPr>
          <w:fldChar w:fldCharType="end"/>
        </w:r>
      </w:sdtContent>
    </w:sdt>
  </w:p>
  <w:p w:rsidR="00D17C00" w:rsidRDefault="00D17C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C00" w:rsidRPr="00D17C00" w:rsidRDefault="00D17C00">
    <w:pPr>
      <w:pStyle w:val="Header"/>
      <w:jc w:val="right"/>
      <w:rPr>
        <w:rFonts w:ascii="Times New Roman" w:hAnsi="Times New Roman" w:cs="Times New Roman"/>
        <w:sz w:val="24"/>
        <w:szCs w:val="24"/>
      </w:rPr>
    </w:pPr>
    <w:r w:rsidRPr="00D17C00">
      <w:rPr>
        <w:rFonts w:ascii="Times New Roman" w:hAnsi="Times New Roman" w:cs="Times New Roman"/>
        <w:sz w:val="24"/>
        <w:szCs w:val="24"/>
      </w:rPr>
      <w:t xml:space="preserve">Running head: </w:t>
    </w:r>
    <w:r w:rsidR="00215346">
      <w:rPr>
        <w:rFonts w:ascii="Times New Roman" w:hAnsi="Times New Roman" w:cs="Times New Roman"/>
        <w:sz w:val="24"/>
        <w:szCs w:val="24"/>
      </w:rPr>
      <w:t>EARLY LEARNING IN OTTAWA</w:t>
    </w:r>
    <w:sdt>
      <w:sdtPr>
        <w:rPr>
          <w:rFonts w:ascii="Times New Roman" w:hAnsi="Times New Roman" w:cs="Times New Roman"/>
          <w:sz w:val="24"/>
          <w:szCs w:val="24"/>
        </w:rPr>
        <w:id w:val="-178564047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17C00">
          <w:rPr>
            <w:rFonts w:ascii="Times New Roman" w:hAnsi="Times New Roman" w:cs="Times New Roman"/>
            <w:sz w:val="24"/>
            <w:szCs w:val="24"/>
          </w:rPr>
          <w:fldChar w:fldCharType="begin"/>
        </w:r>
        <w:r w:rsidRPr="00D17C00">
          <w:rPr>
            <w:rFonts w:ascii="Times New Roman" w:hAnsi="Times New Roman" w:cs="Times New Roman"/>
            <w:sz w:val="24"/>
            <w:szCs w:val="24"/>
          </w:rPr>
          <w:instrText xml:space="preserve"> PAGE   \* MERGEFORMAT </w:instrText>
        </w:r>
        <w:r w:rsidRPr="00D17C00">
          <w:rPr>
            <w:rFonts w:ascii="Times New Roman" w:hAnsi="Times New Roman" w:cs="Times New Roman"/>
            <w:sz w:val="24"/>
            <w:szCs w:val="24"/>
          </w:rPr>
          <w:fldChar w:fldCharType="separate"/>
        </w:r>
        <w:r w:rsidR="00A32FC8">
          <w:rPr>
            <w:rFonts w:ascii="Times New Roman" w:hAnsi="Times New Roman" w:cs="Times New Roman"/>
            <w:noProof/>
            <w:sz w:val="24"/>
            <w:szCs w:val="24"/>
          </w:rPr>
          <w:t>1</w:t>
        </w:r>
        <w:r w:rsidRPr="00D17C00">
          <w:rPr>
            <w:rFonts w:ascii="Times New Roman" w:hAnsi="Times New Roman" w:cs="Times New Roman"/>
            <w:noProof/>
            <w:sz w:val="24"/>
            <w:szCs w:val="24"/>
          </w:rPr>
          <w:fldChar w:fldCharType="end"/>
        </w:r>
      </w:sdtContent>
    </w:sdt>
  </w:p>
  <w:p w:rsidR="00D17C00" w:rsidRDefault="00D17C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0NzK1sDQ0tTQ2MzRX0lEKTi0uzszPAykwrAUAVZTO0iwAAAA="/>
  </w:docVars>
  <w:rsids>
    <w:rsidRoot w:val="006D40DA"/>
    <w:rsid w:val="00015BAC"/>
    <w:rsid w:val="00015CA7"/>
    <w:rsid w:val="000266BB"/>
    <w:rsid w:val="00033C63"/>
    <w:rsid w:val="00034B25"/>
    <w:rsid w:val="00036E29"/>
    <w:rsid w:val="00080F26"/>
    <w:rsid w:val="00083352"/>
    <w:rsid w:val="0008545C"/>
    <w:rsid w:val="000B0E3F"/>
    <w:rsid w:val="000C18C3"/>
    <w:rsid w:val="000C1D4E"/>
    <w:rsid w:val="000C5130"/>
    <w:rsid w:val="000C6C6E"/>
    <w:rsid w:val="000D490A"/>
    <w:rsid w:val="000E55B6"/>
    <w:rsid w:val="00132473"/>
    <w:rsid w:val="001405BC"/>
    <w:rsid w:val="001451E9"/>
    <w:rsid w:val="00154163"/>
    <w:rsid w:val="00165A16"/>
    <w:rsid w:val="00194102"/>
    <w:rsid w:val="001A3FBA"/>
    <w:rsid w:val="001D3AE7"/>
    <w:rsid w:val="001D5C89"/>
    <w:rsid w:val="001D6E3E"/>
    <w:rsid w:val="00215346"/>
    <w:rsid w:val="00240C48"/>
    <w:rsid w:val="00256ECB"/>
    <w:rsid w:val="002D6B18"/>
    <w:rsid w:val="002E167A"/>
    <w:rsid w:val="002F16A0"/>
    <w:rsid w:val="00311EFB"/>
    <w:rsid w:val="00333054"/>
    <w:rsid w:val="00343B5B"/>
    <w:rsid w:val="00353D34"/>
    <w:rsid w:val="003561F6"/>
    <w:rsid w:val="00390260"/>
    <w:rsid w:val="003A6C26"/>
    <w:rsid w:val="003C1158"/>
    <w:rsid w:val="003D3F99"/>
    <w:rsid w:val="003E2F3C"/>
    <w:rsid w:val="003F0CF3"/>
    <w:rsid w:val="004342AF"/>
    <w:rsid w:val="004419A3"/>
    <w:rsid w:val="004429B8"/>
    <w:rsid w:val="004474CD"/>
    <w:rsid w:val="0045508F"/>
    <w:rsid w:val="00461E70"/>
    <w:rsid w:val="004637F2"/>
    <w:rsid w:val="00467BC2"/>
    <w:rsid w:val="00482F10"/>
    <w:rsid w:val="004848FB"/>
    <w:rsid w:val="004B37CF"/>
    <w:rsid w:val="004C3D06"/>
    <w:rsid w:val="004D4918"/>
    <w:rsid w:val="00500AD3"/>
    <w:rsid w:val="00507089"/>
    <w:rsid w:val="005265A2"/>
    <w:rsid w:val="0053782A"/>
    <w:rsid w:val="00544C77"/>
    <w:rsid w:val="005566F1"/>
    <w:rsid w:val="0055791E"/>
    <w:rsid w:val="005B6EC0"/>
    <w:rsid w:val="005B744D"/>
    <w:rsid w:val="005D2B50"/>
    <w:rsid w:val="0061605F"/>
    <w:rsid w:val="0061697D"/>
    <w:rsid w:val="006327ED"/>
    <w:rsid w:val="00632E10"/>
    <w:rsid w:val="00637020"/>
    <w:rsid w:val="00637C0D"/>
    <w:rsid w:val="006455AD"/>
    <w:rsid w:val="00656027"/>
    <w:rsid w:val="00666CE7"/>
    <w:rsid w:val="00684FFC"/>
    <w:rsid w:val="006B40CB"/>
    <w:rsid w:val="006C3B23"/>
    <w:rsid w:val="006D1A51"/>
    <w:rsid w:val="006D40DA"/>
    <w:rsid w:val="006D4FDA"/>
    <w:rsid w:val="006E0226"/>
    <w:rsid w:val="006E7D8A"/>
    <w:rsid w:val="006F210A"/>
    <w:rsid w:val="0071441F"/>
    <w:rsid w:val="00715E54"/>
    <w:rsid w:val="00725DB7"/>
    <w:rsid w:val="0073086A"/>
    <w:rsid w:val="00733F23"/>
    <w:rsid w:val="0079392B"/>
    <w:rsid w:val="007B1B31"/>
    <w:rsid w:val="007D7A5E"/>
    <w:rsid w:val="007E2B86"/>
    <w:rsid w:val="007F3822"/>
    <w:rsid w:val="00806CCA"/>
    <w:rsid w:val="00824164"/>
    <w:rsid w:val="00830B02"/>
    <w:rsid w:val="008337A8"/>
    <w:rsid w:val="0084378D"/>
    <w:rsid w:val="00854774"/>
    <w:rsid w:val="00863ADD"/>
    <w:rsid w:val="00873E82"/>
    <w:rsid w:val="00880229"/>
    <w:rsid w:val="00881395"/>
    <w:rsid w:val="00883A77"/>
    <w:rsid w:val="00887BD5"/>
    <w:rsid w:val="008A5D98"/>
    <w:rsid w:val="008D472A"/>
    <w:rsid w:val="0092278F"/>
    <w:rsid w:val="00932486"/>
    <w:rsid w:val="0094299C"/>
    <w:rsid w:val="00955B3B"/>
    <w:rsid w:val="009909D7"/>
    <w:rsid w:val="009B3504"/>
    <w:rsid w:val="009B7BE7"/>
    <w:rsid w:val="009D0FA1"/>
    <w:rsid w:val="009E0BC6"/>
    <w:rsid w:val="009E4748"/>
    <w:rsid w:val="009E62E2"/>
    <w:rsid w:val="00A32FC8"/>
    <w:rsid w:val="00A44276"/>
    <w:rsid w:val="00A77711"/>
    <w:rsid w:val="00A860E7"/>
    <w:rsid w:val="00AD2A21"/>
    <w:rsid w:val="00AE5EBA"/>
    <w:rsid w:val="00AE7E2E"/>
    <w:rsid w:val="00AF4AB2"/>
    <w:rsid w:val="00B04D5F"/>
    <w:rsid w:val="00B0787E"/>
    <w:rsid w:val="00B30482"/>
    <w:rsid w:val="00B33EE1"/>
    <w:rsid w:val="00B345E0"/>
    <w:rsid w:val="00B531B6"/>
    <w:rsid w:val="00B53784"/>
    <w:rsid w:val="00B57547"/>
    <w:rsid w:val="00B856BD"/>
    <w:rsid w:val="00BC10A5"/>
    <w:rsid w:val="00BF4479"/>
    <w:rsid w:val="00BF4EFA"/>
    <w:rsid w:val="00C00BE4"/>
    <w:rsid w:val="00C03ECD"/>
    <w:rsid w:val="00C34999"/>
    <w:rsid w:val="00C62D0A"/>
    <w:rsid w:val="00C85F13"/>
    <w:rsid w:val="00C9056C"/>
    <w:rsid w:val="00CB0ECA"/>
    <w:rsid w:val="00CD73D0"/>
    <w:rsid w:val="00CE63F1"/>
    <w:rsid w:val="00D17C00"/>
    <w:rsid w:val="00D357DF"/>
    <w:rsid w:val="00D51748"/>
    <w:rsid w:val="00D6574F"/>
    <w:rsid w:val="00D7371B"/>
    <w:rsid w:val="00D75465"/>
    <w:rsid w:val="00D843F9"/>
    <w:rsid w:val="00D9209F"/>
    <w:rsid w:val="00D95009"/>
    <w:rsid w:val="00DE77A2"/>
    <w:rsid w:val="00DE7BDD"/>
    <w:rsid w:val="00E00D7C"/>
    <w:rsid w:val="00E02994"/>
    <w:rsid w:val="00E02F34"/>
    <w:rsid w:val="00E165D0"/>
    <w:rsid w:val="00E4034E"/>
    <w:rsid w:val="00E50D09"/>
    <w:rsid w:val="00E57B2C"/>
    <w:rsid w:val="00E644EF"/>
    <w:rsid w:val="00E64B2D"/>
    <w:rsid w:val="00E67D59"/>
    <w:rsid w:val="00E97F7F"/>
    <w:rsid w:val="00EB275E"/>
    <w:rsid w:val="00EB78D2"/>
    <w:rsid w:val="00ED48B4"/>
    <w:rsid w:val="00EE0647"/>
    <w:rsid w:val="00EE5BBE"/>
    <w:rsid w:val="00EF1729"/>
    <w:rsid w:val="00EF5FAF"/>
    <w:rsid w:val="00F06F72"/>
    <w:rsid w:val="00F56F71"/>
    <w:rsid w:val="00F60A40"/>
    <w:rsid w:val="00F67844"/>
    <w:rsid w:val="00F71CE0"/>
    <w:rsid w:val="00F80ED5"/>
    <w:rsid w:val="00F91339"/>
    <w:rsid w:val="00F941C6"/>
    <w:rsid w:val="00F946CA"/>
    <w:rsid w:val="00FA5751"/>
    <w:rsid w:val="00FA7747"/>
    <w:rsid w:val="00FB123F"/>
    <w:rsid w:val="00FB2CD1"/>
    <w:rsid w:val="00FD3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B33EE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C00"/>
    <w:pPr>
      <w:tabs>
        <w:tab w:val="center" w:pos="4680"/>
        <w:tab w:val="right" w:pos="9360"/>
      </w:tabs>
      <w:spacing w:line="240" w:lineRule="auto"/>
    </w:pPr>
  </w:style>
  <w:style w:type="character" w:customStyle="1" w:styleId="HeaderChar">
    <w:name w:val="Header Char"/>
    <w:basedOn w:val="DefaultParagraphFont"/>
    <w:link w:val="Header"/>
    <w:uiPriority w:val="99"/>
    <w:rsid w:val="00D17C00"/>
  </w:style>
  <w:style w:type="paragraph" w:styleId="Footer">
    <w:name w:val="footer"/>
    <w:basedOn w:val="Normal"/>
    <w:link w:val="FooterChar"/>
    <w:uiPriority w:val="99"/>
    <w:unhideWhenUsed/>
    <w:rsid w:val="00D17C00"/>
    <w:pPr>
      <w:tabs>
        <w:tab w:val="center" w:pos="4680"/>
        <w:tab w:val="right" w:pos="9360"/>
      </w:tabs>
      <w:spacing w:line="240" w:lineRule="auto"/>
    </w:pPr>
  </w:style>
  <w:style w:type="character" w:customStyle="1" w:styleId="FooterChar">
    <w:name w:val="Footer Char"/>
    <w:basedOn w:val="DefaultParagraphFont"/>
    <w:link w:val="Footer"/>
    <w:uiPriority w:val="99"/>
    <w:rsid w:val="00D17C00"/>
  </w:style>
  <w:style w:type="character" w:customStyle="1" w:styleId="Heading4Char">
    <w:name w:val="Heading 4 Char"/>
    <w:basedOn w:val="DefaultParagraphFont"/>
    <w:link w:val="Heading4"/>
    <w:uiPriority w:val="9"/>
    <w:rsid w:val="00B33EE1"/>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B33E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8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understanding.com/educators/history-of-education-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F4FE8-1A65-45C2-AF7D-20CC57BBB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2242</Words>
  <Characters>12782</Characters>
  <Application>Microsoft Office Word</Application>
  <DocSecurity>0</DocSecurity>
  <Lines>106</Lines>
  <Paragraphs>29</Paragraphs>
  <ScaleCrop>false</ScaleCrop>
  <Company/>
  <LinksUpToDate>false</LinksUpToDate>
  <CharactersWithSpaces>14995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2018-12-01T21:19:00Z</dcterms:created>
  <dcterms:modified xsi:type="dcterms:W3CDTF">2018-12-01T21:19:00Z</dcterms:modified>
</cp:coreProperties>
</file>